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732466" w14:textId="7F987B0A" w:rsidR="002E38AA" w:rsidRDefault="002E38AA" w:rsidP="00B65BA2">
      <w:pPr>
        <w:pStyle w:val="Heading1"/>
      </w:pPr>
      <w:r>
        <w:t xml:space="preserve">Chinook Salmon Redd Survey </w:t>
      </w:r>
      <w:r w:rsidR="006D0C25">
        <w:t>Method</w:t>
      </w:r>
      <w:r>
        <w:t>s</w:t>
      </w:r>
      <w:r w:rsidR="006D0C25">
        <w:t xml:space="preserve"> </w:t>
      </w:r>
    </w:p>
    <w:p w14:paraId="06E40E9D" w14:textId="37B0C167" w:rsidR="002E38AA" w:rsidRPr="002E38AA" w:rsidRDefault="00B65BA2" w:rsidP="002E38AA">
      <w:r w:rsidRPr="002E38AA">
        <w:rPr>
          <w:noProof/>
        </w:rPr>
        <w:drawing>
          <wp:anchor distT="0" distB="0" distL="114300" distR="114300" simplePos="0" relativeHeight="251662336" behindDoc="0" locked="0" layoutInCell="1" allowOverlap="1" wp14:anchorId="5F9F630C" wp14:editId="0B76952E">
            <wp:simplePos x="0" y="0"/>
            <wp:positionH relativeFrom="margin">
              <wp:posOffset>0</wp:posOffset>
            </wp:positionH>
            <wp:positionV relativeFrom="paragraph">
              <wp:posOffset>1923627</wp:posOffset>
            </wp:positionV>
            <wp:extent cx="5943600" cy="5207000"/>
            <wp:effectExtent l="0" t="0" r="0" b="0"/>
            <wp:wrapTopAndBottom/>
            <wp:docPr id="466166947" name="Graphic 8"/>
            <wp:cNvGraphicFramePr/>
            <a:graphic xmlns:a="http://schemas.openxmlformats.org/drawingml/2006/main">
              <a:graphicData uri="http://schemas.openxmlformats.org/drawingml/2006/picture">
                <pic:pic xmlns:pic="http://schemas.openxmlformats.org/drawingml/2006/picture">
                  <pic:nvPicPr>
                    <pic:cNvPr id="552583939" name="Graphic 1"/>
                    <pic:cNvPicPr>
                      <a:picLocks noChangeAspect="1"/>
                    </pic:cNvPicPr>
                  </pic:nvPicPr>
                  <pic:blipFill rotWithShape="1">
                    <a:blip r:embed="rId7">
                      <a:extLst>
                        <a:ext uri="{96DAC541-7B7A-43D3-8B79-37D633B846F1}">
                          <asvg:svgBlip xmlns:asvg="http://schemas.microsoft.com/office/drawing/2016/SVG/main" r:embed="rId8"/>
                        </a:ext>
                      </a:extLst>
                    </a:blip>
                    <a:srcRect t="11612" b="12785"/>
                    <a:stretch/>
                  </pic:blipFill>
                  <pic:spPr bwMode="auto">
                    <a:xfrm>
                      <a:off x="0" y="0"/>
                      <a:ext cx="5943600" cy="520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margin">
              <wp14:pctHeight>0</wp14:pctHeight>
            </wp14:sizeRelV>
          </wp:anchor>
        </w:drawing>
      </w:r>
      <w:r w:rsidR="002E38AA" w:rsidRPr="002E38AA">
        <w:t xml:space="preserve">Chinook </w:t>
      </w:r>
      <w:r>
        <w:t>s</w:t>
      </w:r>
      <w:r w:rsidR="002E38AA" w:rsidRPr="002E38AA">
        <w:t xml:space="preserve">almon </w:t>
      </w:r>
      <w:proofErr w:type="spellStart"/>
      <w:r w:rsidR="002E38AA" w:rsidRPr="002E38AA">
        <w:t>redd</w:t>
      </w:r>
      <w:proofErr w:type="spellEnd"/>
      <w:r w:rsidR="002E38AA" w:rsidRPr="002E38AA">
        <w:t xml:space="preserve"> surveys begin in mid-September a</w:t>
      </w:r>
      <w:r>
        <w:t>t</w:t>
      </w:r>
      <w:r w:rsidR="002E38AA" w:rsidRPr="002E38AA">
        <w:t xml:space="preserve"> the onset of spawning and generally conclude at the end of November.</w:t>
      </w:r>
      <w:r>
        <w:t xml:space="preserve"> </w:t>
      </w:r>
      <w:r w:rsidR="002E38AA" w:rsidRPr="002E38AA">
        <w:t xml:space="preserve">The </w:t>
      </w:r>
      <w:proofErr w:type="spellStart"/>
      <w:r w:rsidR="002E38AA" w:rsidRPr="002E38AA">
        <w:t>redd</w:t>
      </w:r>
      <w:proofErr w:type="spellEnd"/>
      <w:r w:rsidR="002E38AA" w:rsidRPr="002E38AA">
        <w:t xml:space="preserve"> surveys are conducted in the uppermost 16 miles of the lower Feather River. Surveys extend from the Table Mountain Bridge in downtown Oroville, CA, downstream to the East Gridley Road Bridge near Gridley, CA (Figure 1). Since 2014, the Chinook salmon </w:t>
      </w:r>
      <w:proofErr w:type="spellStart"/>
      <w:r w:rsidR="002E38AA" w:rsidRPr="002E38AA">
        <w:t>redd</w:t>
      </w:r>
      <w:proofErr w:type="spellEnd"/>
      <w:r w:rsidR="002E38AA" w:rsidRPr="002E38AA">
        <w:t xml:space="preserve"> survey effort has been concentrated in the uppermost 2 miles of the lower Feather River in, and adjacent to the Gravel Supplementation Areas (GSAs) (Figures 2 and 3). Redd surveys are also conducted, but less frequently, in the 14 miles downstream of the GSAs. The </w:t>
      </w:r>
      <w:proofErr w:type="spellStart"/>
      <w:r w:rsidR="002E38AA" w:rsidRPr="002E38AA">
        <w:t>redd</w:t>
      </w:r>
      <w:proofErr w:type="spellEnd"/>
      <w:r w:rsidR="002E38AA" w:rsidRPr="002E38AA">
        <w:t xml:space="preserve"> data from these locations can be used to quantify and understand potential shifts in </w:t>
      </w:r>
      <w:proofErr w:type="spellStart"/>
      <w:r w:rsidR="002E38AA" w:rsidRPr="002E38AA">
        <w:t>redd</w:t>
      </w:r>
      <w:proofErr w:type="spellEnd"/>
      <w:r w:rsidR="002E38AA" w:rsidRPr="002E38AA">
        <w:t xml:space="preserve"> distribution and to quantify potential physical habitat differences (size, substrate, etc.) between historic and restored sites.</w:t>
      </w:r>
    </w:p>
    <w:p w14:paraId="761144AC" w14:textId="359B54C1" w:rsidR="002E38AA" w:rsidRPr="00B65BA2" w:rsidRDefault="002E38AA" w:rsidP="002E38AA">
      <w:pPr>
        <w:rPr>
          <w:i/>
          <w:iCs/>
        </w:rPr>
      </w:pPr>
      <w:r w:rsidRPr="00B65BA2">
        <w:rPr>
          <w:i/>
          <w:iCs/>
        </w:rPr>
        <w:t xml:space="preserve">Figure </w:t>
      </w:r>
      <w:r w:rsidRPr="00B65BA2">
        <w:rPr>
          <w:i/>
          <w:iCs/>
        </w:rPr>
        <w:fldChar w:fldCharType="begin"/>
      </w:r>
      <w:r w:rsidRPr="00B65BA2">
        <w:rPr>
          <w:i/>
          <w:iCs/>
        </w:rPr>
        <w:instrText xml:space="preserve"> SEQ Figure \* ARABIC </w:instrText>
      </w:r>
      <w:r w:rsidRPr="00B65BA2">
        <w:rPr>
          <w:i/>
          <w:iCs/>
        </w:rPr>
        <w:fldChar w:fldCharType="separate"/>
      </w:r>
      <w:r w:rsidRPr="00B65BA2">
        <w:rPr>
          <w:i/>
          <w:iCs/>
        </w:rPr>
        <w:t>1</w:t>
      </w:r>
      <w:r w:rsidRPr="00B65BA2">
        <w:rPr>
          <w:i/>
          <w:iCs/>
        </w:rPr>
        <w:fldChar w:fldCharType="end"/>
      </w:r>
      <w:r w:rsidRPr="00B65BA2">
        <w:rPr>
          <w:i/>
          <w:iCs/>
        </w:rPr>
        <w:t xml:space="preserve">. Map of the </w:t>
      </w:r>
      <w:proofErr w:type="spellStart"/>
      <w:r w:rsidRPr="00B65BA2">
        <w:rPr>
          <w:i/>
          <w:iCs/>
        </w:rPr>
        <w:t>redd</w:t>
      </w:r>
      <w:proofErr w:type="spellEnd"/>
      <w:r w:rsidRPr="00B65BA2">
        <w:rPr>
          <w:i/>
          <w:iCs/>
        </w:rPr>
        <w:t xml:space="preserve"> study area. </w:t>
      </w:r>
    </w:p>
    <w:p w14:paraId="7AEFD74D" w14:textId="339885E1" w:rsidR="002E38AA" w:rsidRPr="00B65BA2" w:rsidRDefault="002E38AA" w:rsidP="002E38AA">
      <w:pPr>
        <w:rPr>
          <w:i/>
          <w:iCs/>
        </w:rPr>
      </w:pPr>
      <w:r w:rsidRPr="002E38AA">
        <w:rPr>
          <w:i/>
          <w:iCs/>
          <w:noProof/>
        </w:rPr>
        <w:lastRenderedPageBreak/>
        <w:drawing>
          <wp:anchor distT="0" distB="0" distL="114300" distR="114300" simplePos="0" relativeHeight="251661312" behindDoc="0" locked="0" layoutInCell="1" allowOverlap="1" wp14:anchorId="394F1ED0" wp14:editId="7D54C580">
            <wp:simplePos x="0" y="0"/>
            <wp:positionH relativeFrom="margin">
              <wp:align>right</wp:align>
            </wp:positionH>
            <wp:positionV relativeFrom="paragraph">
              <wp:posOffset>4097020</wp:posOffset>
            </wp:positionV>
            <wp:extent cx="5943600" cy="3710305"/>
            <wp:effectExtent l="0" t="0" r="0" b="4445"/>
            <wp:wrapTopAndBottom/>
            <wp:docPr id="938282357" name="Picture 6"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igh angle view of a road&#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t="6078"/>
                    <a:stretch>
                      <a:fillRect/>
                    </a:stretch>
                  </pic:blipFill>
                  <pic:spPr bwMode="auto">
                    <a:xfrm>
                      <a:off x="0" y="0"/>
                      <a:ext cx="5943600" cy="3710305"/>
                    </a:xfrm>
                    <a:prstGeom prst="rect">
                      <a:avLst/>
                    </a:prstGeom>
                    <a:noFill/>
                  </pic:spPr>
                </pic:pic>
              </a:graphicData>
            </a:graphic>
            <wp14:sizeRelH relativeFrom="margin">
              <wp14:pctWidth>0</wp14:pctWidth>
            </wp14:sizeRelH>
            <wp14:sizeRelV relativeFrom="margin">
              <wp14:pctHeight>0</wp14:pctHeight>
            </wp14:sizeRelV>
          </wp:anchor>
        </w:drawing>
      </w:r>
      <w:r w:rsidRPr="002E38AA">
        <w:rPr>
          <w:i/>
          <w:iCs/>
          <w:noProof/>
        </w:rPr>
        <w:drawing>
          <wp:anchor distT="0" distB="0" distL="114300" distR="114300" simplePos="0" relativeHeight="251660288" behindDoc="0" locked="0" layoutInCell="1" allowOverlap="1" wp14:anchorId="00A79D6D" wp14:editId="7EB21A48">
            <wp:simplePos x="0" y="0"/>
            <wp:positionH relativeFrom="margin">
              <wp:posOffset>6350</wp:posOffset>
            </wp:positionH>
            <wp:positionV relativeFrom="paragraph">
              <wp:posOffset>0</wp:posOffset>
            </wp:positionV>
            <wp:extent cx="5943600" cy="3827780"/>
            <wp:effectExtent l="0" t="0" r="0" b="1270"/>
            <wp:wrapTopAndBottom/>
            <wp:docPr id="256300819" name="Picture 7" descr="A bird's eye view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00819" name="Picture 7" descr="A bird's eye view of a riv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27780"/>
                    </a:xfrm>
                    <a:prstGeom prst="rect">
                      <a:avLst/>
                    </a:prstGeom>
                    <a:noFill/>
                  </pic:spPr>
                </pic:pic>
              </a:graphicData>
            </a:graphic>
            <wp14:sizeRelH relativeFrom="margin">
              <wp14:pctWidth>0</wp14:pctWidth>
            </wp14:sizeRelH>
            <wp14:sizeRelV relativeFrom="margin">
              <wp14:pctHeight>0</wp14:pctHeight>
            </wp14:sizeRelV>
          </wp:anchor>
        </w:drawing>
      </w:r>
      <w:r w:rsidRPr="002E38AA">
        <w:t>F</w:t>
      </w:r>
      <w:r w:rsidRPr="00B65BA2">
        <w:rPr>
          <w:i/>
          <w:iCs/>
        </w:rPr>
        <w:t xml:space="preserve">igure </w:t>
      </w:r>
      <w:r w:rsidRPr="00B65BA2">
        <w:rPr>
          <w:i/>
          <w:iCs/>
        </w:rPr>
        <w:fldChar w:fldCharType="begin"/>
      </w:r>
      <w:r w:rsidRPr="00B65BA2">
        <w:rPr>
          <w:i/>
          <w:iCs/>
        </w:rPr>
        <w:instrText xml:space="preserve"> SEQ Figure \* ARABIC </w:instrText>
      </w:r>
      <w:r w:rsidRPr="00B65BA2">
        <w:rPr>
          <w:i/>
          <w:iCs/>
        </w:rPr>
        <w:fldChar w:fldCharType="separate"/>
      </w:r>
      <w:r w:rsidRPr="00B65BA2">
        <w:rPr>
          <w:i/>
          <w:iCs/>
        </w:rPr>
        <w:t>2</w:t>
      </w:r>
      <w:r w:rsidRPr="00B65BA2">
        <w:rPr>
          <w:i/>
          <w:iCs/>
        </w:rPr>
        <w:fldChar w:fldCharType="end"/>
      </w:r>
      <w:r w:rsidRPr="00B65BA2">
        <w:rPr>
          <w:i/>
          <w:iCs/>
        </w:rPr>
        <w:t>. Map of the uppermost Gravel Supplementation Areas near downtown Oroville, CA.</w:t>
      </w:r>
    </w:p>
    <w:p w14:paraId="477476CD" w14:textId="6D2390A5" w:rsidR="002E38AA" w:rsidRPr="00B65BA2" w:rsidRDefault="002E38AA" w:rsidP="002E38AA">
      <w:pPr>
        <w:rPr>
          <w:i/>
          <w:iCs/>
        </w:rPr>
      </w:pPr>
      <w:r w:rsidRPr="00B65BA2">
        <w:rPr>
          <w:i/>
          <w:iCs/>
        </w:rPr>
        <w:t xml:space="preserve">Figure </w:t>
      </w:r>
      <w:r w:rsidRPr="00B65BA2">
        <w:rPr>
          <w:i/>
          <w:iCs/>
        </w:rPr>
        <w:fldChar w:fldCharType="begin"/>
      </w:r>
      <w:r w:rsidRPr="00B65BA2">
        <w:rPr>
          <w:i/>
          <w:iCs/>
        </w:rPr>
        <w:instrText xml:space="preserve"> SEQ Figure \* ARABIC </w:instrText>
      </w:r>
      <w:r w:rsidRPr="00B65BA2">
        <w:rPr>
          <w:i/>
          <w:iCs/>
        </w:rPr>
        <w:fldChar w:fldCharType="separate"/>
      </w:r>
      <w:r w:rsidRPr="00B65BA2">
        <w:rPr>
          <w:i/>
          <w:iCs/>
        </w:rPr>
        <w:t>3</w:t>
      </w:r>
      <w:r w:rsidRPr="00B65BA2">
        <w:rPr>
          <w:i/>
          <w:iCs/>
        </w:rPr>
        <w:fldChar w:fldCharType="end"/>
      </w:r>
      <w:r w:rsidRPr="00B65BA2">
        <w:rPr>
          <w:i/>
          <w:iCs/>
        </w:rPr>
        <w:t>. Map of the lowermost Gravel Supplementation Area adjacent to Bedrock Park in downtown Oroville, CA.</w:t>
      </w:r>
    </w:p>
    <w:p w14:paraId="59FE6153" w14:textId="77777777" w:rsidR="002E38AA" w:rsidRDefault="002E38AA" w:rsidP="002E38AA">
      <w:r w:rsidRPr="002E38AA">
        <w:lastRenderedPageBreak/>
        <w:t xml:space="preserve">One of the goals for the </w:t>
      </w:r>
      <w:proofErr w:type="spellStart"/>
      <w:r w:rsidRPr="002E38AA">
        <w:t>redd</w:t>
      </w:r>
      <w:proofErr w:type="spellEnd"/>
      <w:r w:rsidRPr="002E38AA">
        <w:t xml:space="preserve"> survey every year is to inspect the entirety of the GSAs and adjacent sites multiple times each survey week for newly developed </w:t>
      </w:r>
      <w:proofErr w:type="spellStart"/>
      <w:r w:rsidRPr="002E38AA">
        <w:t>redds</w:t>
      </w:r>
      <w:proofErr w:type="spellEnd"/>
      <w:r w:rsidRPr="002E38AA">
        <w:t xml:space="preserve">. Surveys in and adjacent to the GSAs are suspended when it is no longer possible to distinguish new </w:t>
      </w:r>
      <w:proofErr w:type="spellStart"/>
      <w:r w:rsidRPr="002E38AA">
        <w:t>redds</w:t>
      </w:r>
      <w:proofErr w:type="spellEnd"/>
      <w:r w:rsidRPr="002E38AA">
        <w:t xml:space="preserve"> due to superimposition. For this reason, the duration of the survey period in the GSAs can change between years.</w:t>
      </w:r>
    </w:p>
    <w:p w14:paraId="774FCDEF" w14:textId="77777777" w:rsidR="00B65BA2" w:rsidRPr="002E38AA" w:rsidRDefault="00B65BA2" w:rsidP="002E38AA"/>
    <w:p w14:paraId="0EE8989A" w14:textId="77777777" w:rsidR="002E38AA" w:rsidRPr="002E38AA" w:rsidRDefault="002E38AA" w:rsidP="002E38AA">
      <w:r w:rsidRPr="002E38AA">
        <w:t xml:space="preserve">Redd mapping in locations outside of the GSAs is primarily used to provide annual spatial and temporal spawning information and to inform future gravel enhancement projects. These sites are less heavily utilized for spawning than the GSAs. As such these sites can be mapped less frequently than those in and adjacent to the GSAs. Survey sites downstream of the GSAs are mapped weekly or every other week depending on the amount of time needed to perform multiple surveys per week in the GSAs (Figure 4). Redd surveys conducted in the HFC (Figure 1) are also used to provide spatial and temporal spawning information but can be used to investigate the potential for </w:t>
      </w:r>
      <w:proofErr w:type="spellStart"/>
      <w:r w:rsidRPr="002E38AA">
        <w:t>redd</w:t>
      </w:r>
      <w:proofErr w:type="spellEnd"/>
      <w:r w:rsidRPr="002E38AA">
        <w:t xml:space="preserve"> dewatering when flows reductions occur in the HFC.</w:t>
      </w:r>
    </w:p>
    <w:p w14:paraId="0C33118F" w14:textId="77777777" w:rsidR="002E38AA" w:rsidRDefault="002E38AA" w:rsidP="002E38AA">
      <w:r w:rsidRPr="002E38AA">
        <w:t xml:space="preserve">Visual </w:t>
      </w:r>
      <w:proofErr w:type="spellStart"/>
      <w:r w:rsidRPr="002E38AA">
        <w:t>redd</w:t>
      </w:r>
      <w:proofErr w:type="spellEnd"/>
      <w:r w:rsidRPr="002E38AA">
        <w:t xml:space="preserve"> surveys are performed by a crew of two staff members wearing polarized sunglasses. The crew members thoroughly search each survey location looking for newly developed </w:t>
      </w:r>
      <w:proofErr w:type="spellStart"/>
      <w:r w:rsidRPr="002E38AA">
        <w:t>redds</w:t>
      </w:r>
      <w:proofErr w:type="spellEnd"/>
      <w:r w:rsidRPr="002E38AA">
        <w:t xml:space="preserve">. A boat is used to locate and position surveyors over </w:t>
      </w:r>
      <w:proofErr w:type="spellStart"/>
      <w:r w:rsidRPr="002E38AA">
        <w:t>redds</w:t>
      </w:r>
      <w:proofErr w:type="spellEnd"/>
      <w:r w:rsidRPr="002E38AA">
        <w:t xml:space="preserve"> in deeper sections (&gt;3 ft) of the river where wading is not possible. Only completed </w:t>
      </w:r>
      <w:proofErr w:type="spellStart"/>
      <w:r w:rsidRPr="002E38AA">
        <w:t>redds</w:t>
      </w:r>
      <w:proofErr w:type="spellEnd"/>
      <w:r w:rsidRPr="002E38AA">
        <w:t xml:space="preserve">, identified by a pit and tail spill, are marked and counted. Test </w:t>
      </w:r>
      <w:proofErr w:type="spellStart"/>
      <w:r w:rsidRPr="002E38AA">
        <w:t>redds</w:t>
      </w:r>
      <w:proofErr w:type="spellEnd"/>
      <w:r w:rsidRPr="002E38AA">
        <w:t xml:space="preserve">, those without a completed pit and tail spill, are not marked. </w:t>
      </w:r>
    </w:p>
    <w:p w14:paraId="46B6B5F2" w14:textId="77777777" w:rsidR="00B65BA2" w:rsidRPr="002E38AA" w:rsidRDefault="00B65BA2" w:rsidP="002E38AA"/>
    <w:p w14:paraId="1E35449D" w14:textId="77777777" w:rsidR="002E38AA" w:rsidRDefault="002E38AA" w:rsidP="002E38AA">
      <w:proofErr w:type="spellStart"/>
      <w:r w:rsidRPr="002E38AA">
        <w:t>Redds</w:t>
      </w:r>
      <w:proofErr w:type="spellEnd"/>
      <w:r w:rsidRPr="002E38AA">
        <w:t xml:space="preserve"> are recorded geospatially with a Trimble </w:t>
      </w:r>
      <w:proofErr w:type="spellStart"/>
      <w:r w:rsidRPr="002E38AA">
        <w:t>GeoXH</w:t>
      </w:r>
      <w:proofErr w:type="spellEnd"/>
      <w:r w:rsidRPr="002E38AA">
        <w:t xml:space="preserve"> 6000 handheld GPS utilizing virtual reference station real time position correction with accuracy of 10 cm or a Juniper Systems Geode GNS3M Multi-Frequency Antennae.  A single point is recorded by placing the GPS antennae over the center of the </w:t>
      </w:r>
      <w:proofErr w:type="spellStart"/>
      <w:r w:rsidRPr="002E38AA">
        <w:t>redd</w:t>
      </w:r>
      <w:proofErr w:type="spellEnd"/>
      <w:r w:rsidRPr="002E38AA">
        <w:t xml:space="preserve"> to record its location (Redd Point).</w:t>
      </w:r>
    </w:p>
    <w:p w14:paraId="499C8B99" w14:textId="77777777" w:rsidR="00B65BA2" w:rsidRPr="002E38AA" w:rsidRDefault="00B65BA2" w:rsidP="002E38AA"/>
    <w:p w14:paraId="7C95EE35" w14:textId="77777777" w:rsidR="002E38AA" w:rsidRDefault="002E38AA" w:rsidP="002E38AA">
      <w:r w:rsidRPr="002E38AA">
        <w:t xml:space="preserve">Depth, velocity, and substrate data is recorded on every fifth or tenth </w:t>
      </w:r>
      <w:proofErr w:type="spellStart"/>
      <w:r w:rsidRPr="002E38AA">
        <w:t>redd</w:t>
      </w:r>
      <w:proofErr w:type="spellEnd"/>
      <w:r w:rsidRPr="002E38AA">
        <w:t xml:space="preserve"> based on time constraints during each survey week. Substrate composition is recorded by visually estimating the percentage of five substrate size categories: Fines (&lt; 1cm), Gravel (1-5 cm), Cobble (6-15 cm), Large Cobble (16-30 cm), and Boulder (&gt; 30 cm). Physical data (depth, velocity, and substrate) is not recorded for </w:t>
      </w:r>
      <w:proofErr w:type="spellStart"/>
      <w:r w:rsidRPr="002E38AA">
        <w:t>redds</w:t>
      </w:r>
      <w:proofErr w:type="spellEnd"/>
      <w:r w:rsidRPr="002E38AA">
        <w:t xml:space="preserve"> where a boat is necessary to collect position data. Depth measurements are recorded with a standard top-setting wading rod at the head and in the pot of the </w:t>
      </w:r>
      <w:proofErr w:type="spellStart"/>
      <w:r w:rsidRPr="002E38AA">
        <w:t>redd</w:t>
      </w:r>
      <w:proofErr w:type="spellEnd"/>
      <w:r w:rsidRPr="002E38AA">
        <w:t xml:space="preserve">. Velocity readings are measured at 60% depth at the head of the </w:t>
      </w:r>
      <w:proofErr w:type="spellStart"/>
      <w:r w:rsidRPr="002E38AA">
        <w:t>redd</w:t>
      </w:r>
      <w:proofErr w:type="spellEnd"/>
      <w:r w:rsidRPr="002E38AA">
        <w:t xml:space="preserve"> with an Ott MF Pro flowmeter.  </w:t>
      </w:r>
    </w:p>
    <w:p w14:paraId="59317A49" w14:textId="77777777" w:rsidR="00B65BA2" w:rsidRPr="002E38AA" w:rsidRDefault="00B65BA2" w:rsidP="002E38AA"/>
    <w:p w14:paraId="1EE069C8" w14:textId="77777777" w:rsidR="002E38AA" w:rsidRDefault="002E38AA" w:rsidP="002E38AA">
      <w:r w:rsidRPr="002E38AA">
        <w:t xml:space="preserve">At locations where depth and velocity data are collected, the width and length are also measured at the widest and longest part of the </w:t>
      </w:r>
      <w:proofErr w:type="spellStart"/>
      <w:r w:rsidRPr="002E38AA">
        <w:t>redd</w:t>
      </w:r>
      <w:proofErr w:type="spellEnd"/>
      <w:r w:rsidRPr="002E38AA">
        <w:t xml:space="preserve"> to the nearest 0.1 meter. When individual </w:t>
      </w:r>
      <w:proofErr w:type="spellStart"/>
      <w:r w:rsidRPr="002E38AA">
        <w:t>redds</w:t>
      </w:r>
      <w:proofErr w:type="spellEnd"/>
      <w:r w:rsidRPr="002E38AA">
        <w:t xml:space="preserve"> are difficult to distinguish from one another (overlapping), no area measurements are collected. </w:t>
      </w:r>
    </w:p>
    <w:p w14:paraId="122F69DF" w14:textId="77777777" w:rsidR="00B65BA2" w:rsidRPr="002E38AA" w:rsidRDefault="00B65BA2" w:rsidP="002E38AA"/>
    <w:p w14:paraId="2246E152" w14:textId="77777777" w:rsidR="002E38AA" w:rsidRPr="002E38AA" w:rsidRDefault="002E38AA" w:rsidP="002E38AA">
      <w:r w:rsidRPr="002E38AA">
        <w:t xml:space="preserve">After field data collection, information is downloaded and processed using Trimble GPS Pathfinder Office 3.10 or Juniper System’s Uinta software.  </w:t>
      </w:r>
    </w:p>
    <w:p w14:paraId="143EBB18" w14:textId="77777777" w:rsidR="002E38AA" w:rsidRPr="002E38AA" w:rsidRDefault="002E38AA" w:rsidP="002E38AA"/>
    <w:p w14:paraId="459C32F4" w14:textId="77777777" w:rsidR="002E38AA" w:rsidRPr="002E38AA" w:rsidRDefault="002E38AA" w:rsidP="002E38AA">
      <w:pPr>
        <w:rPr>
          <w:bCs/>
        </w:rPr>
      </w:pPr>
      <w:r w:rsidRPr="002E38AA">
        <w:rPr>
          <w:bCs/>
        </w:rPr>
        <w:lastRenderedPageBreak/>
        <w:t>Microsoft Excel is used for statistical analysis and graphical representation of the data.  ArcGIS Pro is used for spatial analysis. Sample means ± 1 standard error are reported for measured parameters.</w:t>
      </w:r>
    </w:p>
    <w:p w14:paraId="61CAEF8B" w14:textId="1B89A0BB" w:rsidR="002E38AA" w:rsidRPr="00B65BA2" w:rsidRDefault="002E38AA" w:rsidP="002E38AA">
      <w:pPr>
        <w:rPr>
          <w:i/>
          <w:iCs/>
        </w:rPr>
      </w:pPr>
      <w:r w:rsidRPr="00B65BA2">
        <w:rPr>
          <w:i/>
          <w:iCs/>
          <w:noProof/>
        </w:rPr>
        <w:drawing>
          <wp:anchor distT="0" distB="0" distL="114300" distR="114300" simplePos="0" relativeHeight="251659264" behindDoc="0" locked="0" layoutInCell="1" allowOverlap="1" wp14:anchorId="2B5DDE97" wp14:editId="09E7DB83">
            <wp:simplePos x="0" y="0"/>
            <wp:positionH relativeFrom="margin">
              <wp:align>center</wp:align>
            </wp:positionH>
            <wp:positionV relativeFrom="paragraph">
              <wp:posOffset>175895</wp:posOffset>
            </wp:positionV>
            <wp:extent cx="5943600" cy="3808730"/>
            <wp:effectExtent l="19050" t="19050" r="19050" b="20320"/>
            <wp:wrapTopAndBottom/>
            <wp:docPr id="2012761268"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80873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B65BA2">
        <w:rPr>
          <w:i/>
          <w:iCs/>
        </w:rPr>
        <w:t xml:space="preserve">Figure 4. Chinook Salmon Redd Survey Sites from Hwy. 162 to the </w:t>
      </w:r>
      <w:proofErr w:type="spellStart"/>
      <w:r w:rsidRPr="00B65BA2">
        <w:rPr>
          <w:i/>
          <w:iCs/>
        </w:rPr>
        <w:t>Thermalito</w:t>
      </w:r>
      <w:proofErr w:type="spellEnd"/>
      <w:r w:rsidRPr="00B65BA2">
        <w:rPr>
          <w:i/>
          <w:iCs/>
        </w:rPr>
        <w:t xml:space="preserve"> Afterbay Outlet.</w:t>
      </w:r>
    </w:p>
    <w:p w14:paraId="4154A36D" w14:textId="77777777" w:rsidR="002E38AA" w:rsidRPr="002E38AA" w:rsidRDefault="002E38AA" w:rsidP="002E38AA"/>
    <w:p w14:paraId="62B9A902" w14:textId="77777777" w:rsidR="002E38AA" w:rsidRPr="002E38AA" w:rsidRDefault="002E38AA" w:rsidP="002E38AA"/>
    <w:p w14:paraId="12F9ED76" w14:textId="47F55C1B" w:rsidR="00184923" w:rsidRDefault="00184923">
      <w:pPr>
        <w:pStyle w:val="NormalWeb"/>
        <w:spacing w:before="280" w:after="280"/>
      </w:pPr>
    </w:p>
    <w:sectPr w:rsidR="00184923">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FreeSans">
    <w:altName w:val="Cambria"/>
    <w:panose1 w:val="020B060402020202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923"/>
    <w:rsid w:val="00184923"/>
    <w:rsid w:val="002E38AA"/>
    <w:rsid w:val="006D0C25"/>
    <w:rsid w:val="00B65BA2"/>
    <w:rsid w:val="00EC567D"/>
    <w:rsid w:val="00EF3C2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36406"/>
  <w15:docId w15:val="{DBD195D8-FB3C-4ED4-83CA-A92D4E265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Cs w:val="24"/>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sz w:val="24"/>
    </w:rPr>
  </w:style>
  <w:style w:type="paragraph" w:styleId="Heading1">
    <w:name w:val="heading 1"/>
    <w:basedOn w:val="Normal"/>
    <w:next w:val="Normal"/>
    <w:link w:val="Heading1Char"/>
    <w:uiPriority w:val="9"/>
    <w:qFormat/>
    <w:rsid w:val="0082582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825823"/>
    <w:rPr>
      <w:rFonts w:asciiTheme="majorHAnsi" w:eastAsiaTheme="majorEastAsia" w:hAnsiTheme="majorHAnsi" w:cstheme="majorBidi"/>
      <w:spacing w:val="-10"/>
      <w:kern w:val="2"/>
      <w:sz w:val="56"/>
      <w:szCs w:val="56"/>
    </w:rPr>
  </w:style>
  <w:style w:type="character" w:customStyle="1" w:styleId="Heading1Char">
    <w:name w:val="Heading 1 Char"/>
    <w:basedOn w:val="DefaultParagraphFont"/>
    <w:link w:val="Heading1"/>
    <w:uiPriority w:val="9"/>
    <w:qFormat/>
    <w:rsid w:val="00825823"/>
    <w:rPr>
      <w:rFonts w:asciiTheme="majorHAnsi" w:eastAsiaTheme="majorEastAsia" w:hAnsiTheme="majorHAnsi" w:cstheme="majorBidi"/>
      <w:color w:val="2F5496" w:themeColor="accent1" w:themeShade="BF"/>
      <w:sz w:val="32"/>
      <w:szCs w:val="32"/>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uiPriority w:val="35"/>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Title">
    <w:name w:val="Title"/>
    <w:basedOn w:val="Normal"/>
    <w:next w:val="Normal"/>
    <w:link w:val="TitleChar"/>
    <w:uiPriority w:val="10"/>
    <w:qFormat/>
    <w:rsid w:val="00825823"/>
    <w:pPr>
      <w:contextualSpacing/>
    </w:pPr>
    <w:rPr>
      <w:rFonts w:asciiTheme="majorHAnsi" w:eastAsiaTheme="majorEastAsia" w:hAnsiTheme="majorHAnsi" w:cstheme="majorBidi"/>
      <w:spacing w:val="-10"/>
      <w:kern w:val="2"/>
      <w:sz w:val="56"/>
      <w:szCs w:val="56"/>
    </w:rPr>
  </w:style>
  <w:style w:type="paragraph" w:styleId="NormalWeb">
    <w:name w:val="Normal (Web)"/>
    <w:basedOn w:val="Normal"/>
    <w:uiPriority w:val="99"/>
    <w:semiHidden/>
    <w:unhideWhenUsed/>
    <w:qFormat/>
    <w:rsid w:val="00825823"/>
    <w:pPr>
      <w:spacing w:beforeAutospacing="1"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1710696">
      <w:bodyDiv w:val="1"/>
      <w:marLeft w:val="0"/>
      <w:marRight w:val="0"/>
      <w:marTop w:val="0"/>
      <w:marBottom w:val="0"/>
      <w:divBdr>
        <w:top w:val="none" w:sz="0" w:space="0" w:color="auto"/>
        <w:left w:val="none" w:sz="0" w:space="0" w:color="auto"/>
        <w:bottom w:val="none" w:sz="0" w:space="0" w:color="auto"/>
        <w:right w:val="none" w:sz="0" w:space="0" w:color="auto"/>
      </w:divBdr>
    </w:div>
    <w:div w:id="17676486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7B55DF532CB8C44B54D8384C7DD0A4F" ma:contentTypeVersion="2" ma:contentTypeDescription="Create a new document." ma:contentTypeScope="" ma:versionID="8390b4ef7f70a62d7c0197e4cd419f71">
  <xsd:schema xmlns:xsd="http://www.w3.org/2001/XMLSchema" xmlns:xs="http://www.w3.org/2001/XMLSchema" xmlns:p="http://schemas.microsoft.com/office/2006/metadata/properties" xmlns:ns2="3ce38863-457d-4e04-9624-5b04d5940576" targetNamespace="http://schemas.microsoft.com/office/2006/metadata/properties" ma:root="true" ma:fieldsID="24830da0bcdd0db467a47b1a446a0df8" ns2:_="">
    <xsd:import namespace="3ce38863-457d-4e04-9624-5b04d5940576"/>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e38863-457d-4e04-9624-5b04d59405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91AAB3-E18A-4168-8931-FC25F6BC12C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66F9221-615C-4969-8FD6-A7912D801769}">
  <ds:schemaRefs>
    <ds:schemaRef ds:uri="http://schemas.microsoft.com/sharepoint/v3/contenttype/forms"/>
  </ds:schemaRefs>
</ds:datastoreItem>
</file>

<file path=customXml/itemProps3.xml><?xml version="1.0" encoding="utf-8"?>
<ds:datastoreItem xmlns:ds="http://schemas.openxmlformats.org/officeDocument/2006/customXml" ds:itemID="{7DF34334-AB7C-45DC-BF66-ACB7472FF0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e38863-457d-4e04-9624-5b04d59405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Pages>
  <Words>679</Words>
  <Characters>3873</Characters>
  <Application>Microsoft Office Word</Application>
  <DocSecurity>0</DocSecurity>
  <Lines>32</Lines>
  <Paragraphs>9</Paragraphs>
  <ScaleCrop>false</ScaleCrop>
  <Company/>
  <LinksUpToDate>false</LinksUpToDate>
  <CharactersWithSpaces>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lizzygrace2@hotmail.com</dc:creator>
  <dc:description/>
  <cp:lastModifiedBy>Ashley Vizek</cp:lastModifiedBy>
  <cp:revision>4</cp:revision>
  <dcterms:created xsi:type="dcterms:W3CDTF">2020-12-18T21:19:00Z</dcterms:created>
  <dcterms:modified xsi:type="dcterms:W3CDTF">2024-09-18T15:38:00Z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0x010100A7B55DF532CB8C44B54D8384C7DD0A4F</vt:lpwstr>
  </property>
</Properties>
</file>